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9C" w:rsidRDefault="009E439C" w:rsidP="008351E4">
      <w:pPr>
        <w:shd w:val="clear" w:color="auto" w:fill="FFFFFF"/>
        <w:spacing w:after="135" w:line="270" w:lineRule="atLeast"/>
        <w:jc w:val="both"/>
        <w:rPr>
          <w:rFonts w:ascii="Calibri" w:eastAsia="Times New Roman" w:hAnsi="Calibri" w:cs="Times New Roman"/>
          <w:b/>
          <w:bCs/>
          <w:color w:val="262625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9D4E4F0" wp14:editId="137568AF">
            <wp:extent cx="5758736" cy="666750"/>
            <wp:effectExtent l="0" t="0" r="0" b="0"/>
            <wp:docPr id="1" name="Obraz 1" descr="http://intranet/SiteCollectionImages/Ksiega-Znaku-PARP-Grupa-PFR/Pasek-z-logami/P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POW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8" cy="6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1E4" w:rsidRPr="00724E14" w:rsidRDefault="00A17579" w:rsidP="008351E4">
      <w:pPr>
        <w:shd w:val="clear" w:color="auto" w:fill="FFFFFF"/>
        <w:spacing w:after="135" w:line="270" w:lineRule="atLeast"/>
        <w:jc w:val="both"/>
        <w:rPr>
          <w:rFonts w:eastAsia="Times New Roman" w:cs="Times New Roman"/>
          <w:b/>
          <w:bCs/>
          <w:color w:val="262625"/>
          <w:lang w:eastAsia="pl-PL"/>
        </w:rPr>
      </w:pPr>
      <w:r w:rsidRPr="00724E14">
        <w:rPr>
          <w:rFonts w:eastAsia="Times New Roman" w:cs="Times New Roman"/>
          <w:b/>
          <w:bCs/>
          <w:color w:val="262625"/>
          <w:lang w:eastAsia="pl-PL"/>
        </w:rPr>
        <w:t xml:space="preserve">Usługa ekspercka polegająca na </w:t>
      </w:r>
      <w:r w:rsidR="001917D0" w:rsidRPr="00724E14">
        <w:rPr>
          <w:rFonts w:eastAsia="Times New Roman" w:cs="Times New Roman"/>
          <w:b/>
          <w:bCs/>
          <w:color w:val="262625"/>
          <w:lang w:eastAsia="pl-PL"/>
        </w:rPr>
        <w:t>przy</w:t>
      </w:r>
      <w:r w:rsidR="008351E4" w:rsidRPr="00724E14">
        <w:rPr>
          <w:rFonts w:eastAsia="Times New Roman" w:cs="Times New Roman"/>
          <w:b/>
          <w:bCs/>
          <w:color w:val="262625"/>
          <w:lang w:eastAsia="pl-PL"/>
        </w:rPr>
        <w:t xml:space="preserve">gotowaniu wniosków o wydanie </w:t>
      </w:r>
      <w:r w:rsidR="008351E4" w:rsidRPr="00724E14">
        <w:rPr>
          <w:rFonts w:cs="Calibri"/>
          <w:b/>
        </w:rPr>
        <w:t>indywidualnej interpretacji Krajowej Informacji Skarbowej w kwestii określenia kwalifikowalności podatku VAT w projektach POWER 2014-2020 Działanie 2.2 Wsparcie na rzecz zarządzania strategicznego przedsiębiorstw oraz budowy przewagi konkurencyjnej na rynku, typ projektu 1.</w:t>
      </w:r>
    </w:p>
    <w:p w:rsidR="008351E4" w:rsidRPr="00724E14" w:rsidRDefault="008351E4" w:rsidP="005B3B51">
      <w:pPr>
        <w:rPr>
          <w:rFonts w:cs="Times New Roman"/>
        </w:rPr>
      </w:pPr>
    </w:p>
    <w:p w:rsidR="008351E4" w:rsidRPr="00724E14" w:rsidRDefault="00213566" w:rsidP="008351E4">
      <w:pPr>
        <w:jc w:val="both"/>
        <w:rPr>
          <w:rFonts w:cs="Times New Roman"/>
        </w:rPr>
      </w:pPr>
      <w:r w:rsidRPr="00724E14">
        <w:rPr>
          <w:rFonts w:cs="Times New Roman"/>
        </w:rPr>
        <w:t xml:space="preserve">Polska Agencja Rozwoju Przedsiębiorczości, w ramach procedury rozeznania rynku, zwraca się z prośbą o dokonanie szacunkowej wyceny zamówienia polegającego </w:t>
      </w:r>
      <w:r w:rsidR="00A241C6" w:rsidRPr="00724E14">
        <w:rPr>
          <w:rFonts w:cs="Times New Roman"/>
        </w:rPr>
        <w:t xml:space="preserve">na </w:t>
      </w:r>
      <w:r w:rsidR="008351E4" w:rsidRPr="00724E14">
        <w:rPr>
          <w:rFonts w:cs="Times New Roman"/>
        </w:rPr>
        <w:t xml:space="preserve">przygotowaniu wniosków o wydanie indywidualnej interpretacji Krajowej Informacji Skarbowej w kwestii </w:t>
      </w:r>
      <w:r w:rsidR="004E6B63" w:rsidRPr="00724E14">
        <w:rPr>
          <w:rFonts w:cs="Times New Roman"/>
        </w:rPr>
        <w:t xml:space="preserve">opodatkowania podatkiem VAT dotacji oraz </w:t>
      </w:r>
      <w:r w:rsidR="008351E4" w:rsidRPr="00724E14">
        <w:rPr>
          <w:rFonts w:cs="Times New Roman"/>
        </w:rPr>
        <w:t>określenia kwalifikowalności podatku VAT w projektach POWER 2014-2020 Działanie 2.2 Wsparcie na rzecz zarządzania strategicznego przedsiębiorstw oraz budowy przewagi konkurencyjnej na rynku, typ projektu 1.</w:t>
      </w:r>
    </w:p>
    <w:p w:rsidR="00634073" w:rsidRPr="00724E14" w:rsidRDefault="00AB12C3" w:rsidP="00634073">
      <w:pPr>
        <w:jc w:val="both"/>
        <w:rPr>
          <w:rFonts w:cs="Times New Roman"/>
        </w:rPr>
      </w:pPr>
      <w:r w:rsidRPr="00724E14">
        <w:rPr>
          <w:rFonts w:cs="Times New Roman"/>
        </w:rPr>
        <w:t xml:space="preserve">Celem głównym zamówienia jest zapewnienie zaplecza </w:t>
      </w:r>
      <w:r w:rsidR="00EB7216" w:rsidRPr="00724E14">
        <w:rPr>
          <w:rFonts w:cs="Times New Roman"/>
        </w:rPr>
        <w:t>eksperckiego</w:t>
      </w:r>
      <w:r w:rsidRPr="00724E14">
        <w:rPr>
          <w:rFonts w:cs="Times New Roman"/>
        </w:rPr>
        <w:t xml:space="preserve"> na potrzeby </w:t>
      </w:r>
      <w:r w:rsidR="00634073" w:rsidRPr="00724E14">
        <w:rPr>
          <w:rFonts w:cs="Times New Roman"/>
        </w:rPr>
        <w:t>Beneficjentów w projektach POWER 2014-2020 Działanie 2.2 Wsparcie na rzecz zarządzania strategicznego przedsiębiorstw oraz budowy przewagi konkurencyjnej na rynku, typ projektu 1.</w:t>
      </w:r>
    </w:p>
    <w:p w:rsidR="002B0B35" w:rsidRPr="00724E14" w:rsidRDefault="002B0B35" w:rsidP="002B0B35">
      <w:pPr>
        <w:spacing w:after="0" w:line="276" w:lineRule="auto"/>
        <w:jc w:val="both"/>
      </w:pPr>
      <w:r w:rsidRPr="00724E14">
        <w:t xml:space="preserve">Przedmiotem </w:t>
      </w:r>
      <w:r w:rsidRPr="00724E14">
        <w:rPr>
          <w:rFonts w:cs="Times New Roman"/>
        </w:rPr>
        <w:t>Działania 2.2 Wsparcie na rzecz zarządzania strategicznego przedsiębiorstw oraz budowy przewagi konkurencyjnej na rynku, typ projektu 1</w:t>
      </w:r>
      <w:r w:rsidR="00724E14" w:rsidRPr="00724E14">
        <w:rPr>
          <w:rFonts w:cs="Times New Roman"/>
        </w:rPr>
        <w:t xml:space="preserve"> </w:t>
      </w:r>
      <w:r w:rsidRPr="00724E14">
        <w:t>jest udzielenie dofinansowania na realizację projektów w zakresie:</w:t>
      </w:r>
    </w:p>
    <w:p w:rsidR="002B0B35" w:rsidRPr="00724E14" w:rsidRDefault="002B0B35" w:rsidP="002B0B35">
      <w:pPr>
        <w:pStyle w:val="Default"/>
        <w:numPr>
          <w:ilvl w:val="3"/>
          <w:numId w:val="11"/>
        </w:numPr>
        <w:spacing w:before="0" w:after="0"/>
        <w:ind w:left="426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724E14">
        <w:rPr>
          <w:rFonts w:asciiTheme="minorHAnsi" w:eastAsiaTheme="minorHAnsi" w:hAnsiTheme="minorHAnsi" w:cstheme="minorBidi"/>
          <w:color w:val="auto"/>
          <w:szCs w:val="22"/>
          <w:lang w:eastAsia="en-US"/>
        </w:rPr>
        <w:t>Identyfikacji potencjalnych odbiorców wsparcia;</w:t>
      </w:r>
    </w:p>
    <w:p w:rsidR="002B0B35" w:rsidRPr="00724E14" w:rsidRDefault="002B0B35" w:rsidP="002B0B35">
      <w:pPr>
        <w:pStyle w:val="Default"/>
        <w:numPr>
          <w:ilvl w:val="3"/>
          <w:numId w:val="11"/>
        </w:numPr>
        <w:spacing w:before="0" w:after="0"/>
        <w:ind w:left="426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724E14">
        <w:rPr>
          <w:rFonts w:asciiTheme="minorHAnsi" w:eastAsiaTheme="minorHAnsi" w:hAnsiTheme="minorHAnsi" w:cstheme="minorBidi"/>
          <w:color w:val="auto"/>
          <w:szCs w:val="22"/>
          <w:lang w:eastAsia="en-US"/>
        </w:rPr>
        <w:t>Opracowania analizy potrzeb rozwojowych MMSP oraz przygotowania na ich podstawie propozycji Planów Rozwojowych;</w:t>
      </w:r>
    </w:p>
    <w:p w:rsidR="002B0B35" w:rsidRPr="00724E14" w:rsidRDefault="002B0B35" w:rsidP="002B0B35">
      <w:pPr>
        <w:pStyle w:val="Default"/>
        <w:numPr>
          <w:ilvl w:val="3"/>
          <w:numId w:val="11"/>
        </w:numPr>
        <w:spacing w:before="0" w:after="0"/>
        <w:ind w:left="426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724E14">
        <w:rPr>
          <w:rFonts w:asciiTheme="minorHAnsi" w:eastAsiaTheme="minorHAnsi" w:hAnsiTheme="minorHAnsi" w:cstheme="minorBidi"/>
          <w:color w:val="auto"/>
          <w:szCs w:val="22"/>
          <w:lang w:eastAsia="en-US"/>
        </w:rPr>
        <w:t>Analizy faktycznej dostępności usług rozwojowych dla MMSP w regionach i – o ile dotyczy – podejmowania działań interwencyjnych;</w:t>
      </w:r>
    </w:p>
    <w:p w:rsidR="002B0B35" w:rsidRPr="00724E14" w:rsidRDefault="002B0B35" w:rsidP="002B0B35">
      <w:pPr>
        <w:pStyle w:val="Default"/>
        <w:numPr>
          <w:ilvl w:val="3"/>
          <w:numId w:val="11"/>
        </w:numPr>
        <w:spacing w:before="0" w:after="0"/>
        <w:ind w:left="426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724E14">
        <w:rPr>
          <w:rFonts w:asciiTheme="minorHAnsi" w:eastAsiaTheme="minorHAnsi" w:hAnsiTheme="minorHAnsi" w:cstheme="minorBidi"/>
          <w:szCs w:val="22"/>
          <w:lang w:eastAsia="en-US"/>
        </w:rPr>
        <w:t xml:space="preserve">Upowszechniania wśród interesariuszy wiedzy o zdiagnozowanych potrzebach lub barierach rozwojowych, które wykraczają poza bezpośredni zakres wsparcia w Rejestrze Usług Rozwojowych i podejmowanie działań wdrożeniowych lub interwencji koniecznych do ich zaspokojenia (mainstreaming potrzeb rozwojowych). </w:t>
      </w:r>
    </w:p>
    <w:p w:rsidR="00AB12C3" w:rsidRPr="00724E14" w:rsidRDefault="00AB12C3" w:rsidP="008351E4">
      <w:pPr>
        <w:jc w:val="both"/>
      </w:pPr>
    </w:p>
    <w:p w:rsidR="00213566" w:rsidRPr="00724E14" w:rsidRDefault="00213566" w:rsidP="005B3B51">
      <w:pPr>
        <w:rPr>
          <w:rFonts w:cs="Times New Roman"/>
        </w:rPr>
      </w:pPr>
      <w:r w:rsidRPr="00724E14">
        <w:rPr>
          <w:rFonts w:cs="Times New Roman"/>
        </w:rPr>
        <w:t xml:space="preserve">Czas realizacji </w:t>
      </w:r>
      <w:r w:rsidR="007E68D5" w:rsidRPr="00724E14">
        <w:rPr>
          <w:rFonts w:cs="Times New Roman"/>
        </w:rPr>
        <w:t xml:space="preserve">zamówienia: </w:t>
      </w:r>
      <w:r w:rsidR="004E6B63" w:rsidRPr="00724E14">
        <w:rPr>
          <w:rFonts w:cs="Times New Roman"/>
        </w:rPr>
        <w:t>03-05.2018 r.</w:t>
      </w:r>
    </w:p>
    <w:p w:rsidR="00EB7216" w:rsidRPr="00724E14" w:rsidRDefault="00EB7216" w:rsidP="005B3B51">
      <w:pPr>
        <w:rPr>
          <w:rFonts w:cs="Times New Roman"/>
        </w:rPr>
      </w:pPr>
      <w:r w:rsidRPr="00724E14">
        <w:rPr>
          <w:rFonts w:cs="Times New Roman"/>
        </w:rPr>
        <w:t xml:space="preserve">Zakres </w:t>
      </w:r>
      <w:r w:rsidR="005B3B51" w:rsidRPr="00724E14">
        <w:rPr>
          <w:rFonts w:cs="Times New Roman"/>
        </w:rPr>
        <w:t xml:space="preserve">planowanego </w:t>
      </w:r>
      <w:r w:rsidRPr="00724E14">
        <w:rPr>
          <w:rFonts w:cs="Times New Roman"/>
        </w:rPr>
        <w:t>zamówienia:</w:t>
      </w:r>
    </w:p>
    <w:p w:rsidR="00CA2002" w:rsidRPr="00724E14" w:rsidRDefault="00CA2002" w:rsidP="007E68D5">
      <w:pPr>
        <w:shd w:val="clear" w:color="auto" w:fill="FFFFFF"/>
        <w:spacing w:after="135" w:line="270" w:lineRule="atLeast"/>
        <w:jc w:val="both"/>
        <w:rPr>
          <w:rFonts w:eastAsia="Times New Roman" w:cs="Times New Roman"/>
          <w:color w:val="262625"/>
          <w:lang w:eastAsia="pl-PL"/>
        </w:rPr>
      </w:pPr>
      <w:r w:rsidRPr="00724E14">
        <w:rPr>
          <w:rFonts w:eastAsia="Times New Roman" w:cs="Times New Roman"/>
          <w:color w:val="262625"/>
          <w:lang w:eastAsia="pl-PL"/>
        </w:rPr>
        <w:t xml:space="preserve">W ramach zamówienia przewiduje się </w:t>
      </w:r>
      <w:r w:rsidR="00B90373" w:rsidRPr="00724E14">
        <w:rPr>
          <w:rFonts w:eastAsia="Times New Roman" w:cs="Times New Roman"/>
          <w:color w:val="262625"/>
          <w:lang w:eastAsia="pl-PL"/>
        </w:rPr>
        <w:t>przygotowanie dla zainteresowanych Beneficjentów wniosków o wydanie indywidualnej interpretacji Krajowej Informacji Skarbowej w kwestii</w:t>
      </w:r>
      <w:r w:rsidR="004E6B63" w:rsidRPr="00724E14">
        <w:rPr>
          <w:rFonts w:eastAsia="Times New Roman" w:cs="Times New Roman"/>
          <w:color w:val="262625"/>
          <w:lang w:eastAsia="pl-PL"/>
        </w:rPr>
        <w:t xml:space="preserve"> opodatkowania dotacji podatkiem VAT oraz</w:t>
      </w:r>
      <w:r w:rsidR="00B90373" w:rsidRPr="00724E14">
        <w:rPr>
          <w:rFonts w:eastAsia="Times New Roman" w:cs="Times New Roman"/>
          <w:color w:val="262625"/>
          <w:lang w:eastAsia="pl-PL"/>
        </w:rPr>
        <w:t xml:space="preserve"> określenia kwalifikowalności podatku VAT w realizowanych przez nich projektach</w:t>
      </w:r>
      <w:r w:rsidR="004E6B63" w:rsidRPr="00724E14">
        <w:rPr>
          <w:rFonts w:eastAsia="Times New Roman" w:cs="Times New Roman"/>
          <w:color w:val="262625"/>
          <w:lang w:eastAsia="pl-PL"/>
        </w:rPr>
        <w:t xml:space="preserve"> w</w:t>
      </w:r>
      <w:r w:rsidR="004E6B63" w:rsidRPr="00724E14">
        <w:t xml:space="preserve">raz z przygotowaniem opisu stanu faktycznego z udziałem zainteresowanej instytucji. </w:t>
      </w:r>
      <w:r w:rsidR="002B0B35" w:rsidRPr="00724E14">
        <w:rPr>
          <w:rFonts w:eastAsia="Times New Roman" w:cs="Times New Roman"/>
          <w:color w:val="262625"/>
          <w:lang w:eastAsia="pl-PL"/>
        </w:rPr>
        <w:t xml:space="preserve"> </w:t>
      </w:r>
      <w:r w:rsidR="00AC3398" w:rsidRPr="00724E14">
        <w:rPr>
          <w:rFonts w:eastAsia="Times New Roman" w:cs="Times New Roman"/>
          <w:color w:val="262625"/>
          <w:lang w:eastAsia="pl-PL"/>
        </w:rPr>
        <w:t xml:space="preserve">Liczba wniosków </w:t>
      </w:r>
      <w:r w:rsidR="000F59AD" w:rsidRPr="00724E14">
        <w:rPr>
          <w:rFonts w:eastAsia="Times New Roman" w:cs="Times New Roman"/>
          <w:color w:val="262625"/>
          <w:lang w:eastAsia="pl-PL"/>
        </w:rPr>
        <w:t xml:space="preserve">do przygotowania </w:t>
      </w:r>
      <w:r w:rsidR="00AC3398" w:rsidRPr="00724E14">
        <w:rPr>
          <w:rFonts w:eastAsia="Times New Roman" w:cs="Times New Roman"/>
          <w:color w:val="262625"/>
          <w:lang w:eastAsia="pl-PL"/>
        </w:rPr>
        <w:t xml:space="preserve">nie przekroczy </w:t>
      </w:r>
      <w:r w:rsidR="004E6B63" w:rsidRPr="00724E14">
        <w:rPr>
          <w:rFonts w:eastAsia="Times New Roman" w:cs="Times New Roman"/>
          <w:color w:val="262625"/>
          <w:lang w:eastAsia="pl-PL"/>
        </w:rPr>
        <w:t>50</w:t>
      </w:r>
      <w:r w:rsidR="000F59AD" w:rsidRPr="00724E14">
        <w:rPr>
          <w:rFonts w:eastAsia="Times New Roman" w:cs="Times New Roman"/>
          <w:color w:val="262625"/>
          <w:lang w:eastAsia="pl-PL"/>
        </w:rPr>
        <w:t>.</w:t>
      </w:r>
    </w:p>
    <w:p w:rsidR="000F59AD" w:rsidRPr="00724E14" w:rsidRDefault="000F59AD" w:rsidP="000F59AD">
      <w:pPr>
        <w:shd w:val="clear" w:color="auto" w:fill="FFFFFF"/>
        <w:spacing w:after="135" w:line="270" w:lineRule="atLeast"/>
        <w:jc w:val="both"/>
        <w:rPr>
          <w:rFonts w:eastAsia="Times New Roman" w:cs="Times New Roman"/>
          <w:color w:val="262625"/>
          <w:lang w:eastAsia="pl-PL"/>
        </w:rPr>
      </w:pPr>
    </w:p>
    <w:p w:rsidR="000E7344" w:rsidRPr="00724E14" w:rsidRDefault="000F59AD" w:rsidP="000E7344">
      <w:pPr>
        <w:shd w:val="clear" w:color="auto" w:fill="FFFFFF"/>
        <w:spacing w:after="135" w:line="270" w:lineRule="atLeast"/>
        <w:jc w:val="both"/>
        <w:rPr>
          <w:rFonts w:eastAsia="Times New Roman" w:cs="Times New Roman"/>
          <w:color w:val="262625"/>
          <w:lang w:eastAsia="pl-PL"/>
        </w:rPr>
      </w:pPr>
      <w:r w:rsidRPr="00724E14">
        <w:rPr>
          <w:rFonts w:eastAsia="Times New Roman" w:cs="Times New Roman"/>
          <w:color w:val="262625"/>
          <w:lang w:eastAsia="pl-PL"/>
        </w:rPr>
        <w:t xml:space="preserve">W związku z powyższymi założeniami i wymaganiami, co do sposobu realizacji przedmiotu zamówienia, uprzejmie proszę o oszacowanie kosztów netto/brutto ww. działań w następującym układzie:  </w:t>
      </w:r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2126"/>
      </w:tblGrid>
      <w:tr w:rsidR="00634073" w:rsidRPr="00724E14" w:rsidTr="000F59AD">
        <w:tc>
          <w:tcPr>
            <w:tcW w:w="4111" w:type="dxa"/>
            <w:shd w:val="clear" w:color="auto" w:fill="D0CECE" w:themeFill="background2" w:themeFillShade="E6"/>
          </w:tcPr>
          <w:p w:rsidR="00634073" w:rsidRPr="00724E14" w:rsidRDefault="00634073" w:rsidP="00881575">
            <w:pPr>
              <w:spacing w:after="135" w:line="270" w:lineRule="atLeast"/>
              <w:jc w:val="center"/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</w:pPr>
            <w:r w:rsidRPr="00724E14"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  <w:lastRenderedPageBreak/>
              <w:t>Zadanie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634073" w:rsidRPr="00724E14" w:rsidRDefault="00634073" w:rsidP="00881575">
            <w:pPr>
              <w:spacing w:after="135" w:line="270" w:lineRule="atLeast"/>
              <w:jc w:val="center"/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</w:pPr>
            <w:r w:rsidRPr="00724E14"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  <w:t>Szacowany koszt netto/</w:t>
            </w:r>
            <w:r w:rsidR="00B90373" w:rsidRPr="00724E14"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  <w:t>wniosek</w:t>
            </w:r>
          </w:p>
          <w:p w:rsidR="00634073" w:rsidRPr="00724E14" w:rsidRDefault="00634073" w:rsidP="00881575">
            <w:pPr>
              <w:spacing w:after="135" w:line="270" w:lineRule="atLeast"/>
              <w:jc w:val="center"/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</w:pPr>
            <w:r w:rsidRPr="00724E14"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  <w:t>(PLN)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B90373" w:rsidRPr="00724E14" w:rsidRDefault="00634073" w:rsidP="00B90373">
            <w:pPr>
              <w:spacing w:after="135" w:line="270" w:lineRule="atLeast"/>
              <w:jc w:val="center"/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</w:pPr>
            <w:r w:rsidRPr="00724E14"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  <w:t>Szacowany koszt brutto/</w:t>
            </w:r>
            <w:r w:rsidR="00B90373" w:rsidRPr="00724E14"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  <w:t>wniosek</w:t>
            </w:r>
          </w:p>
          <w:p w:rsidR="00634073" w:rsidRPr="00724E14" w:rsidRDefault="00634073" w:rsidP="00B90373">
            <w:pPr>
              <w:spacing w:after="135" w:line="270" w:lineRule="atLeast"/>
              <w:jc w:val="center"/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</w:pPr>
            <w:r w:rsidRPr="00724E14">
              <w:rPr>
                <w:rFonts w:eastAsia="Times New Roman" w:cs="Times New Roman"/>
                <w:b/>
                <w:color w:val="262625"/>
                <w:highlight w:val="lightGray"/>
                <w:lang w:eastAsia="pl-PL"/>
              </w:rPr>
              <w:t>(PLN)</w:t>
            </w:r>
          </w:p>
        </w:tc>
      </w:tr>
      <w:tr w:rsidR="00634073" w:rsidRPr="00724E14" w:rsidTr="000F59AD">
        <w:tc>
          <w:tcPr>
            <w:tcW w:w="4111" w:type="dxa"/>
          </w:tcPr>
          <w:p w:rsidR="00634073" w:rsidRPr="00724E14" w:rsidRDefault="002B0B35" w:rsidP="002B0B35">
            <w:pPr>
              <w:shd w:val="clear" w:color="auto" w:fill="FFFFFF"/>
              <w:spacing w:after="135" w:line="270" w:lineRule="atLeast"/>
              <w:rPr>
                <w:rFonts w:eastAsia="Times New Roman" w:cs="Times New Roman"/>
                <w:color w:val="262625"/>
                <w:lang w:eastAsia="pl-PL"/>
              </w:rPr>
            </w:pPr>
            <w:r w:rsidRPr="00724E14">
              <w:rPr>
                <w:rFonts w:eastAsia="Times New Roman" w:cs="Times New Roman"/>
                <w:b/>
                <w:bCs/>
                <w:color w:val="262625"/>
                <w:lang w:eastAsia="pl-PL"/>
              </w:rPr>
              <w:t xml:space="preserve">Przygotowanie wniosku o wydanie </w:t>
            </w:r>
            <w:r w:rsidRPr="00724E14">
              <w:rPr>
                <w:rFonts w:cs="Calibri"/>
                <w:b/>
              </w:rPr>
              <w:t>indywidualnej interpretacji Krajowej Informacji Skarbowej</w:t>
            </w:r>
          </w:p>
        </w:tc>
        <w:tc>
          <w:tcPr>
            <w:tcW w:w="2268" w:type="dxa"/>
          </w:tcPr>
          <w:p w:rsidR="00634073" w:rsidRPr="00724E14" w:rsidRDefault="00634073" w:rsidP="00881575">
            <w:pPr>
              <w:spacing w:after="135" w:line="270" w:lineRule="atLeast"/>
              <w:jc w:val="both"/>
              <w:rPr>
                <w:rFonts w:eastAsia="Times New Roman" w:cs="Times New Roman"/>
                <w:color w:val="262625"/>
                <w:lang w:eastAsia="pl-PL"/>
              </w:rPr>
            </w:pPr>
          </w:p>
        </w:tc>
        <w:tc>
          <w:tcPr>
            <w:tcW w:w="2126" w:type="dxa"/>
          </w:tcPr>
          <w:p w:rsidR="00634073" w:rsidRPr="00724E14" w:rsidRDefault="00634073" w:rsidP="00881575">
            <w:pPr>
              <w:spacing w:after="135" w:line="270" w:lineRule="atLeast"/>
              <w:jc w:val="both"/>
              <w:rPr>
                <w:rFonts w:eastAsia="Times New Roman" w:cs="Times New Roman"/>
                <w:color w:val="262625"/>
                <w:lang w:eastAsia="pl-PL"/>
              </w:rPr>
            </w:pPr>
          </w:p>
        </w:tc>
      </w:tr>
    </w:tbl>
    <w:p w:rsidR="000E7344" w:rsidRPr="00724E14" w:rsidRDefault="000E7344" w:rsidP="000E7344">
      <w:pPr>
        <w:shd w:val="clear" w:color="auto" w:fill="FFFFFF"/>
        <w:spacing w:after="135" w:line="270" w:lineRule="atLeast"/>
        <w:jc w:val="both"/>
        <w:rPr>
          <w:rFonts w:eastAsia="Times New Roman" w:cs="Times New Roman"/>
          <w:color w:val="262625"/>
          <w:sz w:val="21"/>
          <w:szCs w:val="21"/>
          <w:lang w:eastAsia="pl-PL"/>
        </w:rPr>
      </w:pPr>
    </w:p>
    <w:p w:rsidR="008D1A24" w:rsidRPr="00724E14" w:rsidRDefault="00213566" w:rsidP="008D1A24">
      <w:pPr>
        <w:shd w:val="clear" w:color="auto" w:fill="FFFFFF"/>
        <w:spacing w:after="135" w:line="270" w:lineRule="atLeast"/>
        <w:jc w:val="both"/>
        <w:rPr>
          <w:rFonts w:eastAsia="Times New Roman" w:cs="Times New Roman"/>
          <w:b/>
          <w:color w:val="262625"/>
          <w:lang w:eastAsia="pl-PL"/>
        </w:rPr>
      </w:pPr>
      <w:r w:rsidRPr="00724E14">
        <w:rPr>
          <w:rFonts w:eastAsia="Times New Roman" w:cs="Times New Roman"/>
          <w:color w:val="262625"/>
          <w:sz w:val="21"/>
          <w:szCs w:val="21"/>
          <w:lang w:eastAsia="pl-PL"/>
        </w:rPr>
        <w:t> </w:t>
      </w:r>
      <w:r w:rsidR="00F62B07" w:rsidRPr="00724E14">
        <w:rPr>
          <w:rFonts w:eastAsia="Times New Roman" w:cs="Times New Roman"/>
          <w:color w:val="262625"/>
          <w:lang w:eastAsia="pl-PL"/>
        </w:rPr>
        <w:t>Szacunek</w:t>
      </w:r>
      <w:r w:rsidR="008D1A24" w:rsidRPr="00724E14">
        <w:rPr>
          <w:rFonts w:eastAsia="Times New Roman" w:cs="Times New Roman"/>
          <w:color w:val="262625"/>
          <w:lang w:eastAsia="pl-PL"/>
        </w:rPr>
        <w:t xml:space="preserve"> proszę przesłać na adresy email</w:t>
      </w:r>
      <w:r w:rsidR="000E7344" w:rsidRPr="00724E14">
        <w:rPr>
          <w:rFonts w:eastAsia="Times New Roman" w:cs="Times New Roman"/>
          <w:color w:val="262625"/>
          <w:lang w:eastAsia="pl-PL"/>
        </w:rPr>
        <w:t xml:space="preserve">: </w:t>
      </w:r>
      <w:r w:rsidR="00F63DC0" w:rsidRPr="00724E14">
        <w:rPr>
          <w:rStyle w:val="Hipercze"/>
        </w:rPr>
        <w:t>iwona_augustynowicz</w:t>
      </w:r>
      <w:hyperlink r:id="rId7" w:history="1">
        <w:r w:rsidR="00634073" w:rsidRPr="00724E14">
          <w:rPr>
            <w:rStyle w:val="Hipercze"/>
          </w:rPr>
          <w:t>@parp.gov.pl</w:t>
        </w:r>
      </w:hyperlink>
      <w:r w:rsidR="00F63DC0" w:rsidRPr="00724E14">
        <w:t xml:space="preserve">, </w:t>
      </w:r>
      <w:hyperlink r:id="rId8" w:history="1">
        <w:r w:rsidR="00F63DC0" w:rsidRPr="00724E14">
          <w:rPr>
            <w:rStyle w:val="Hipercze"/>
          </w:rPr>
          <w:t>magdalena_arusztowicz@parp.gov.pl</w:t>
        </w:r>
      </w:hyperlink>
      <w:r w:rsidR="00F63DC0" w:rsidRPr="00724E14">
        <w:rPr>
          <w:rStyle w:val="Hipercze"/>
        </w:rPr>
        <w:t xml:space="preserve"> </w:t>
      </w:r>
      <w:r w:rsidR="008D1A24" w:rsidRPr="00724E14">
        <w:rPr>
          <w:rFonts w:eastAsia="Times New Roman" w:cs="Times New Roman"/>
          <w:color w:val="262625"/>
          <w:lang w:eastAsia="pl-PL"/>
        </w:rPr>
        <w:t xml:space="preserve">w terminie do dnia </w:t>
      </w:r>
      <w:r w:rsidR="008A64AA" w:rsidRPr="00724E14">
        <w:rPr>
          <w:rFonts w:eastAsia="Times New Roman" w:cs="Times New Roman"/>
          <w:color w:val="262625"/>
          <w:lang w:eastAsia="pl-PL"/>
        </w:rPr>
        <w:t>0</w:t>
      </w:r>
      <w:r w:rsidR="00F63DC0" w:rsidRPr="00724E14">
        <w:rPr>
          <w:rFonts w:eastAsia="Times New Roman" w:cs="Times New Roman"/>
          <w:color w:val="262625"/>
          <w:lang w:eastAsia="pl-PL"/>
        </w:rPr>
        <w:t>9</w:t>
      </w:r>
      <w:r w:rsidR="008A64AA" w:rsidRPr="00724E14">
        <w:rPr>
          <w:rFonts w:eastAsia="Times New Roman" w:cs="Times New Roman"/>
          <w:color w:val="262625"/>
          <w:lang w:eastAsia="pl-PL"/>
        </w:rPr>
        <w:t>.</w:t>
      </w:r>
      <w:r w:rsidR="008D1A24" w:rsidRPr="00724E14">
        <w:rPr>
          <w:rFonts w:eastAsia="Times New Roman" w:cs="Times New Roman"/>
          <w:color w:val="262625"/>
          <w:lang w:eastAsia="pl-PL"/>
        </w:rPr>
        <w:t>0</w:t>
      </w:r>
      <w:r w:rsidR="00CF5DC4" w:rsidRPr="00724E14">
        <w:rPr>
          <w:rFonts w:eastAsia="Times New Roman" w:cs="Times New Roman"/>
          <w:color w:val="262625"/>
          <w:lang w:eastAsia="pl-PL"/>
        </w:rPr>
        <w:t>3</w:t>
      </w:r>
      <w:r w:rsidR="008D1A24" w:rsidRPr="00724E14">
        <w:rPr>
          <w:rFonts w:eastAsia="Times New Roman" w:cs="Times New Roman"/>
          <w:color w:val="262625"/>
          <w:lang w:eastAsia="pl-PL"/>
        </w:rPr>
        <w:t xml:space="preserve">.2018 do godziny </w:t>
      </w:r>
      <w:r w:rsidR="00F63DC0" w:rsidRPr="00724E14">
        <w:rPr>
          <w:rFonts w:eastAsia="Times New Roman" w:cs="Times New Roman"/>
          <w:color w:val="262625"/>
          <w:lang w:eastAsia="pl-PL"/>
        </w:rPr>
        <w:t>10</w:t>
      </w:r>
      <w:r w:rsidR="008D1A24" w:rsidRPr="00724E14">
        <w:rPr>
          <w:rFonts w:eastAsia="Times New Roman" w:cs="Times New Roman"/>
          <w:color w:val="262625"/>
          <w:lang w:eastAsia="pl-PL"/>
        </w:rPr>
        <w:t>.00, wpisując w temacie wiadomości: „</w:t>
      </w:r>
      <w:r w:rsidR="000E7344" w:rsidRPr="00724E14">
        <w:rPr>
          <w:rStyle w:val="Pogrubienie"/>
          <w:rFonts w:cs="Times New Roman"/>
          <w:b w:val="0"/>
        </w:rPr>
        <w:t xml:space="preserve">Usługa ekspercka – </w:t>
      </w:r>
      <w:r w:rsidR="00634073" w:rsidRPr="00724E14">
        <w:rPr>
          <w:rStyle w:val="Pogrubienie"/>
          <w:rFonts w:cs="Times New Roman"/>
          <w:b w:val="0"/>
        </w:rPr>
        <w:t>przygotowanie wniosku do KIS</w:t>
      </w:r>
      <w:r w:rsidR="000E7344" w:rsidRPr="00724E14">
        <w:rPr>
          <w:rStyle w:val="Pogrubienie"/>
          <w:rFonts w:cs="Times New Roman"/>
          <w:b w:val="0"/>
        </w:rPr>
        <w:t xml:space="preserve"> – wycena</w:t>
      </w:r>
      <w:r w:rsidR="008D1A24" w:rsidRPr="00724E14">
        <w:rPr>
          <w:rFonts w:eastAsia="Times New Roman" w:cs="Times New Roman"/>
          <w:b/>
          <w:color w:val="262625"/>
          <w:lang w:eastAsia="pl-PL"/>
        </w:rPr>
        <w:t>”.</w:t>
      </w:r>
    </w:p>
    <w:p w:rsidR="008D1A24" w:rsidRPr="00724E14" w:rsidRDefault="008D1A24" w:rsidP="008D1A24">
      <w:pPr>
        <w:shd w:val="clear" w:color="auto" w:fill="FFFFFF"/>
        <w:spacing w:after="135" w:line="270" w:lineRule="atLeast"/>
        <w:jc w:val="both"/>
        <w:rPr>
          <w:rFonts w:eastAsia="Times New Roman" w:cs="Times New Roman"/>
          <w:color w:val="262625"/>
          <w:lang w:eastAsia="pl-PL"/>
        </w:rPr>
      </w:pPr>
      <w:r w:rsidRPr="00724E14">
        <w:rPr>
          <w:rFonts w:eastAsia="Times New Roman" w:cs="Times New Roman"/>
          <w:color w:val="262625"/>
          <w:lang w:eastAsia="pl-PL"/>
        </w:rPr>
        <w:t>Przedstawione zapytanie nie stanowi oferty w myśl art. 66 Kodeksu Cywilnego, jak również nie jest ogłoszeniem w rozumieniu ustawy Prawo zamówień publiczny</w:t>
      </w:r>
      <w:r w:rsidR="00AB12C3" w:rsidRPr="00724E14">
        <w:rPr>
          <w:rFonts w:eastAsia="Times New Roman" w:cs="Times New Roman"/>
          <w:color w:val="262625"/>
          <w:lang w:eastAsia="pl-PL"/>
        </w:rPr>
        <w:t>ch.</w:t>
      </w:r>
    </w:p>
    <w:sectPr w:rsidR="008D1A24" w:rsidRPr="0072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688"/>
    <w:multiLevelType w:val="multilevel"/>
    <w:tmpl w:val="E4C627D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20F99"/>
    <w:multiLevelType w:val="hybridMultilevel"/>
    <w:tmpl w:val="0C26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E61"/>
    <w:multiLevelType w:val="multilevel"/>
    <w:tmpl w:val="A4062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957B4"/>
    <w:multiLevelType w:val="hybridMultilevel"/>
    <w:tmpl w:val="DD20D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28FF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0A27"/>
    <w:multiLevelType w:val="hybridMultilevel"/>
    <w:tmpl w:val="E3E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E77D9"/>
    <w:multiLevelType w:val="hybridMultilevel"/>
    <w:tmpl w:val="E132F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4B49"/>
    <w:multiLevelType w:val="hybridMultilevel"/>
    <w:tmpl w:val="24DEB0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525745"/>
    <w:multiLevelType w:val="multilevel"/>
    <w:tmpl w:val="07664BAC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B237CE8"/>
    <w:multiLevelType w:val="multilevel"/>
    <w:tmpl w:val="3912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  <w:lvlOverride w:ilvl="0">
      <w:lvl w:ilvl="0">
        <w:start w:val="1"/>
        <w:numFmt w:val="decimal"/>
        <w:lvlText w:val="Rozdział %1."/>
        <w:lvlJc w:val="left"/>
        <w:pPr>
          <w:ind w:left="1928" w:hanging="1928"/>
        </w:pPr>
        <w:rPr>
          <w:rFonts w:asciiTheme="majorHAnsi" w:hAnsiTheme="majorHAnsi" w:hint="default"/>
          <w:b/>
          <w:color w:val="2E74B5" w:themeColor="accent1" w:themeShade="BF"/>
          <w:sz w:val="28"/>
          <w:szCs w:val="28"/>
        </w:rPr>
      </w:lvl>
    </w:lvlOverride>
    <w:lvlOverride w:ilvl="1">
      <w:lvl w:ilvl="1">
        <w:start w:val="1"/>
        <w:numFmt w:val="decimal"/>
        <w:lvlText w:val="Podrozdział %1.%2."/>
        <w:lvlJc w:val="left"/>
        <w:pPr>
          <w:ind w:left="2126" w:hanging="2126"/>
        </w:pPr>
        <w:rPr>
          <w:rFonts w:asciiTheme="majorHAnsi" w:hAnsiTheme="majorHAnsi"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05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35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0D"/>
    <w:rsid w:val="000E7344"/>
    <w:rsid w:val="000F59AD"/>
    <w:rsid w:val="00181A10"/>
    <w:rsid w:val="001917D0"/>
    <w:rsid w:val="001F5FD9"/>
    <w:rsid w:val="00213566"/>
    <w:rsid w:val="002B0B35"/>
    <w:rsid w:val="003C2358"/>
    <w:rsid w:val="0040548E"/>
    <w:rsid w:val="0044200D"/>
    <w:rsid w:val="0045620A"/>
    <w:rsid w:val="004A5A71"/>
    <w:rsid w:val="004E6B63"/>
    <w:rsid w:val="00534D19"/>
    <w:rsid w:val="005B3B51"/>
    <w:rsid w:val="00634073"/>
    <w:rsid w:val="00705E28"/>
    <w:rsid w:val="00724E14"/>
    <w:rsid w:val="0076409E"/>
    <w:rsid w:val="007E68D5"/>
    <w:rsid w:val="007F5DC0"/>
    <w:rsid w:val="00800264"/>
    <w:rsid w:val="00802C8D"/>
    <w:rsid w:val="008351E4"/>
    <w:rsid w:val="00881575"/>
    <w:rsid w:val="008A64AA"/>
    <w:rsid w:val="008D1A24"/>
    <w:rsid w:val="00920351"/>
    <w:rsid w:val="0097142E"/>
    <w:rsid w:val="009E439C"/>
    <w:rsid w:val="00A17579"/>
    <w:rsid w:val="00A241C6"/>
    <w:rsid w:val="00A86720"/>
    <w:rsid w:val="00AA591B"/>
    <w:rsid w:val="00AB12C3"/>
    <w:rsid w:val="00AC3398"/>
    <w:rsid w:val="00AF0A16"/>
    <w:rsid w:val="00B90373"/>
    <w:rsid w:val="00C062E0"/>
    <w:rsid w:val="00C43449"/>
    <w:rsid w:val="00CA2002"/>
    <w:rsid w:val="00CF5DC4"/>
    <w:rsid w:val="00D26A8B"/>
    <w:rsid w:val="00EB7216"/>
    <w:rsid w:val="00F17068"/>
    <w:rsid w:val="00F62B07"/>
    <w:rsid w:val="00F63DC0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AA479-D153-4C5C-A9FB-7C686C13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SzP"/>
    <w:basedOn w:val="Normalny"/>
    <w:link w:val="Nagwek1Znak"/>
    <w:qFormat/>
    <w:rsid w:val="00AB12C3"/>
    <w:pPr>
      <w:autoSpaceDE w:val="0"/>
      <w:autoSpaceDN w:val="0"/>
      <w:spacing w:after="0" w:line="320" w:lineRule="exact"/>
      <w:ind w:left="4253"/>
      <w:outlineLvl w:val="0"/>
    </w:pPr>
    <w:rPr>
      <w:rFonts w:ascii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8D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75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57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D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A24"/>
    <w:rPr>
      <w:b/>
      <w:bCs/>
    </w:rPr>
  </w:style>
  <w:style w:type="table" w:styleId="Tabela-Siatka">
    <w:name w:val="Table Grid"/>
    <w:basedOn w:val="Standardowy"/>
    <w:uiPriority w:val="39"/>
    <w:rsid w:val="008D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B12C3"/>
    <w:rPr>
      <w:rFonts w:ascii="Arial" w:hAnsi="Arial" w:cs="Arial"/>
      <w:color w:val="00000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B12C3"/>
  </w:style>
  <w:style w:type="character" w:styleId="Odwoaniedokomentarza">
    <w:name w:val="annotation reference"/>
    <w:basedOn w:val="Domylnaczcionkaakapitu"/>
    <w:uiPriority w:val="99"/>
    <w:semiHidden/>
    <w:unhideWhenUsed/>
    <w:rsid w:val="0088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575"/>
    <w:rPr>
      <w:b/>
      <w:bCs/>
      <w:sz w:val="20"/>
      <w:szCs w:val="20"/>
    </w:rPr>
  </w:style>
  <w:style w:type="character" w:customStyle="1" w:styleId="mm">
    <w:name w:val="mm"/>
    <w:basedOn w:val="Domylnaczcionkaakapitu"/>
    <w:rsid w:val="0076409E"/>
  </w:style>
  <w:style w:type="paragraph" w:customStyle="1" w:styleId="Default">
    <w:name w:val="Default"/>
    <w:rsid w:val="002B0B35"/>
    <w:pPr>
      <w:autoSpaceDE w:val="0"/>
      <w:autoSpaceDN w:val="0"/>
      <w:adjustRightInd w:val="0"/>
      <w:spacing w:before="240" w:after="60" w:line="276" w:lineRule="auto"/>
      <w:ind w:left="505" w:hanging="363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numbering" w:customStyle="1" w:styleId="Regulaminkonkursu2">
    <w:name w:val="Regulamin konkursu 2"/>
    <w:uiPriority w:val="99"/>
    <w:rsid w:val="002B0B3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_arusztowicz@par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in_kukla@par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4792-7C5C-4A62-87A0-77F72074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Potyra Eliza</dc:creator>
  <cp:keywords/>
  <dc:description/>
  <cp:lastModifiedBy>Skowera Paweł</cp:lastModifiedBy>
  <cp:revision>2</cp:revision>
  <cp:lastPrinted>2018-03-05T13:43:00Z</cp:lastPrinted>
  <dcterms:created xsi:type="dcterms:W3CDTF">2018-03-05T15:49:00Z</dcterms:created>
  <dcterms:modified xsi:type="dcterms:W3CDTF">2018-03-05T15:49:00Z</dcterms:modified>
</cp:coreProperties>
</file>